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7" w:name="tribunal-do-trabalho-de-lisboa"/>
    <w:p>
      <w:pPr>
        <w:pStyle w:val="Heading2"/>
      </w:pPr>
      <w:r>
        <w:t xml:space="preserve">Tribunal do Trabalho de Lisboa</w:t>
      </w:r>
    </w:p>
    <w:bookmarkStart w:id="9" w:name="Xbc6f1b53ab3c49e723dab202aacf863f31a3921"/>
    <w:p>
      <w:pPr>
        <w:pStyle w:val="Heading3"/>
      </w:pPr>
      <w:r>
        <w:t xml:space="preserve">Processo n.º</w:t>
      </w:r>
      <w:r>
        <w:t xml:space="preserve"> </w:t>
      </w:r>
      <w:r>
        <w:rPr>
          <w:b/>
          <w:bCs/>
        </w:rPr>
        <w:t xml:space="preserve">1234/2026</w:t>
      </w:r>
      <w:r>
        <w:t xml:space="preserve"> </w:t>
      </w:r>
      <w:r>
        <w:t xml:space="preserve">– Despedimento por Justa Causa – Uso Indevido de Email Corporativo</w:t>
      </w:r>
    </w:p>
    <w:p>
      <w:pPr>
        <w:pStyle w:val="FirstParagraph"/>
      </w:pPr>
      <w:r>
        <w:rPr>
          <w:b/>
          <w:bCs/>
        </w:rPr>
        <w:t xml:space="preserve">Requerente:</w:t>
      </w:r>
      <w:r>
        <w:t xml:space="preserve"> </w:t>
      </w:r>
      <w:r>
        <w:t xml:space="preserve">José Manuel da Silva, NIF 123 456 789, residente em Rua das Flores, 45, 2.º Dto., 1150‑221 Lisboa.</w:t>
      </w:r>
      <w:r>
        <w:br/>
      </w:r>
      <w:r>
        <w:rPr>
          <w:b/>
          <w:bCs/>
        </w:rPr>
        <w:t xml:space="preserve">Representado por:</w:t>
      </w:r>
      <w:r>
        <w:t xml:space="preserve"> </w:t>
      </w:r>
      <w:r>
        <w:t xml:space="preserve">Dr. António Ribeiro, Ordem dos Advogados nº 12 345, escritório em Av. da República, 45, 4.º Esq., 1050‑190 Lisboa.</w:t>
      </w:r>
    </w:p>
    <w:p>
      <w:pPr>
        <w:pStyle w:val="BodyText"/>
      </w:pPr>
      <w:r>
        <w:rPr>
          <w:b/>
          <w:bCs/>
        </w:rPr>
        <w:t xml:space="preserve">Requerido:</w:t>
      </w:r>
      <w:r>
        <w:t xml:space="preserve"> </w:t>
      </w:r>
      <w:r>
        <w:t xml:space="preserve">XYZ – Serviços de Tecnologia, Lda., NIF 987 654 321, sede em Rua do Comércio, 10, 4000‑120 Porto, representada por Dra. Sofia Carvalho, Ordem dos Advogados nº 67 890, escritório em Rua de Sá da Bandeira, 78, 2.º Esq., 4000‑460 Porto.</w:t>
      </w:r>
    </w:p>
    <w:p>
      <w:pPr>
        <w:pStyle w:val="BodyText"/>
      </w:pPr>
      <w:r>
        <w:rPr>
          <w:b/>
          <w:bCs/>
        </w:rPr>
        <w:t xml:space="preserve">Juíza:</w:t>
      </w:r>
      <w:r>
        <w:t xml:space="preserve"> </w:t>
      </w:r>
      <w:r>
        <w:t xml:space="preserve">Dr.ª Maria de Lurdes Santos</w:t>
      </w:r>
    </w:p>
    <w:p>
      <w:pPr>
        <w:pStyle w:val="BodyText"/>
      </w:pPr>
      <w:r>
        <w:t xml:space="preserve">Lisboa, 15 de março de 2026</w:t>
      </w:r>
    </w:p>
    <w:p>
      <w:r>
        <w:pict>
          <v:rect style="width:0;height:1.5pt" o:hralign="center" o:hrstd="t" o:hr="t"/>
        </w:pict>
      </w:r>
    </w:p>
    <w:bookmarkEnd w:id="9"/>
    <w:bookmarkStart w:id="16" w:name="X99ec19f995cc032963ef3f94d5adec7394c1834"/>
    <w:p>
      <w:pPr>
        <w:pStyle w:val="Heading3"/>
      </w:pPr>
      <w:r>
        <w:rPr>
          <w:b/>
          <w:bCs/>
        </w:rPr>
        <w:t xml:space="preserve">REQUERIMENTO DE INDENIZAÇÃO POR DANOS MORAIS</w:t>
      </w:r>
    </w:p>
    <w:bookmarkStart w:id="10" w:name="i.-exposição-dos-factos"/>
    <w:p>
      <w:pPr>
        <w:pStyle w:val="Heading4"/>
      </w:pPr>
      <w:r>
        <w:t xml:space="preserve">I. Exposição dos Factos</w:t>
      </w:r>
    </w:p>
    <w:p>
      <w:pPr>
        <w:numPr>
          <w:ilvl w:val="0"/>
          <w:numId w:val="1001"/>
        </w:numPr>
      </w:pPr>
      <w:r>
        <w:t xml:space="preserve">O Requerente foi admitido pela Requerida, a</w:t>
      </w:r>
      <w:r>
        <w:t xml:space="preserve"> </w:t>
      </w:r>
      <w:r>
        <w:rPr>
          <w:b/>
          <w:bCs/>
        </w:rPr>
        <w:t xml:space="preserve">XYZ – Serviços de Tecnologia, Lda.</w:t>
      </w:r>
      <w:r>
        <w:t xml:space="preserve">, em</w:t>
      </w:r>
      <w:r>
        <w:t xml:space="preserve"> </w:t>
      </w:r>
      <w:r>
        <w:rPr>
          <w:b/>
          <w:bCs/>
        </w:rPr>
        <w:t xml:space="preserve">12 de abril de 2014</w:t>
      </w:r>
      <w:r>
        <w:t xml:space="preserve">, para exercer a função de</w:t>
      </w:r>
      <w:r>
        <w:t xml:space="preserve"> </w:t>
      </w:r>
      <w:r>
        <w:rPr>
          <w:b/>
          <w:bCs/>
        </w:rPr>
        <w:t xml:space="preserve">Analista de Sistemas</w:t>
      </w:r>
      <w:r>
        <w:t xml:space="preserve">, tendo acumulado</w:t>
      </w:r>
      <w:r>
        <w:t xml:space="preserve"> </w:t>
      </w:r>
      <w:r>
        <w:rPr>
          <w:b/>
          <w:bCs/>
        </w:rPr>
        <w:t xml:space="preserve">doze (12) anos de antiguidade</w:t>
      </w:r>
      <w:r>
        <w:t xml:space="preserve"> </w:t>
      </w:r>
      <w:r>
        <w:t xml:space="preserve">e um histórico de avaliações de desempenho</w:t>
      </w:r>
      <w:r>
        <w:t xml:space="preserve"> </w:t>
      </w:r>
      <w:r>
        <w:rPr>
          <w:b/>
          <w:bCs/>
        </w:rPr>
        <w:t xml:space="preserve">excelentes</w:t>
      </w:r>
      <w:r>
        <w:t xml:space="preserve">.</w:t>
      </w:r>
    </w:p>
    <w:p>
      <w:pPr>
        <w:numPr>
          <w:ilvl w:val="0"/>
          <w:numId w:val="1001"/>
        </w:numPr>
      </w:pPr>
      <w:r>
        <w:t xml:space="preserve">No dia</w:t>
      </w:r>
      <w:r>
        <w:t xml:space="preserve"> </w:t>
      </w:r>
      <w:r>
        <w:rPr>
          <w:b/>
          <w:bCs/>
        </w:rPr>
        <w:t xml:space="preserve">20 de janeiro de 2025</w:t>
      </w:r>
      <w:r>
        <w:t xml:space="preserve">, o Requerente recebeu, por meio de carta registada com aviso de receção, a notificação de despedimento por</w:t>
      </w:r>
      <w:r>
        <w:t xml:space="preserve"> </w:t>
      </w:r>
      <w:r>
        <w:rPr>
          <w:b/>
          <w:bCs/>
        </w:rPr>
        <w:t xml:space="preserve">justa causa</w:t>
      </w:r>
      <w:r>
        <w:t xml:space="preserve">, fundamentada na suposta prática de</w:t>
      </w:r>
      <w:r>
        <w:t xml:space="preserve"> </w:t>
      </w:r>
      <w:r>
        <w:rPr>
          <w:b/>
          <w:bCs/>
        </w:rPr>
        <w:t xml:space="preserve">uso indevido do email corporativo</w:t>
      </w:r>
      <w:r>
        <w:t xml:space="preserve"> </w:t>
      </w:r>
      <w:r>
        <w:t xml:space="preserve">e violação do dever de lealdade.</w:t>
      </w:r>
    </w:p>
    <w:p>
      <w:pPr>
        <w:numPr>
          <w:ilvl w:val="0"/>
          <w:numId w:val="1001"/>
        </w:numPr>
      </w:pPr>
      <w:r>
        <w:t xml:space="preserve">O Requerente reconhece que, em algumas ocasiões, utilizou o endereço eletrónico institucional para enviar</w:t>
      </w:r>
      <w:r>
        <w:t xml:space="preserve"> </w:t>
      </w:r>
      <w:r>
        <w:rPr>
          <w:b/>
          <w:bCs/>
        </w:rPr>
        <w:t xml:space="preserve">mensagens de caráter pessoal</w:t>
      </w:r>
      <w:r>
        <w:t xml:space="preserve"> </w:t>
      </w:r>
      <w:r>
        <w:t xml:space="preserve">(ex.: convite a jantar, troca de contactos de familiares). Contudo, tais comunicações</w:t>
      </w:r>
      <w:r>
        <w:t xml:space="preserve"> </w:t>
      </w:r>
      <w:r>
        <w:rPr>
          <w:b/>
          <w:bCs/>
        </w:rPr>
        <w:t xml:space="preserve">não continham informação confidencial, nem foram enviadas a terceiros externos à empresa</w:t>
      </w:r>
      <w:r>
        <w:t xml:space="preserve">, limitando‑se a contactos internos de colegas.</w:t>
      </w:r>
    </w:p>
    <w:p>
      <w:pPr>
        <w:numPr>
          <w:ilvl w:val="0"/>
          <w:numId w:val="1001"/>
        </w:numPr>
      </w:pPr>
      <w:r>
        <w:t xml:space="preserve">A Requerida não observou,</w:t>
      </w:r>
      <w:r>
        <w:t xml:space="preserve"> </w:t>
      </w:r>
      <w:r>
        <w:rPr>
          <w:b/>
          <w:bCs/>
        </w:rPr>
        <w:t xml:space="preserve">nos termos do artigo 351.º do Código do Trabalho</w:t>
      </w:r>
      <w:r>
        <w:t xml:space="preserve">, o procedimento legal de</w:t>
      </w:r>
      <w:r>
        <w:t xml:space="preserve"> </w:t>
      </w:r>
      <w:r>
        <w:rPr>
          <w:b/>
          <w:bCs/>
        </w:rPr>
        <w:t xml:space="preserve">comunicação prévia e oportunidade de defesa</w:t>
      </w:r>
      <w:r>
        <w:t xml:space="preserve"> </w:t>
      </w:r>
      <w:r>
        <w:t xml:space="preserve">ao trabalhador, nem realizou</w:t>
      </w:r>
      <w:r>
        <w:t xml:space="preserve"> </w:t>
      </w:r>
      <w:r>
        <w:rPr>
          <w:b/>
          <w:bCs/>
        </w:rPr>
        <w:t xml:space="preserve">investigação interna</w:t>
      </w:r>
      <w:r>
        <w:t xml:space="preserve"> </w:t>
      </w:r>
      <w:r>
        <w:t xml:space="preserve">que comprovasse a gravidade da suposta infração.</w:t>
      </w:r>
    </w:p>
    <w:p>
      <w:pPr>
        <w:numPr>
          <w:ilvl w:val="0"/>
          <w:numId w:val="1001"/>
        </w:numPr>
      </w:pPr>
      <w:r>
        <w:t xml:space="preserve">O despedimento, anunciado de forma abrupta, provocou ao Requerente</w:t>
      </w:r>
      <w:r>
        <w:t xml:space="preserve"> </w:t>
      </w:r>
      <w:r>
        <w:rPr>
          <w:b/>
          <w:bCs/>
        </w:rPr>
        <w:t xml:space="preserve">perda de rendimentos</w:t>
      </w:r>
      <w:r>
        <w:t xml:space="preserve">,</w:t>
      </w:r>
      <w:r>
        <w:t xml:space="preserve"> </w:t>
      </w:r>
      <w:r>
        <w:rPr>
          <w:b/>
          <w:bCs/>
        </w:rPr>
        <w:t xml:space="preserve">exclusão do plano de pensões</w:t>
      </w:r>
      <w:r>
        <w:t xml:space="preserve">,</w:t>
      </w:r>
      <w:r>
        <w:t xml:space="preserve"> </w:t>
      </w:r>
      <w:r>
        <w:rPr>
          <w:b/>
          <w:bCs/>
        </w:rPr>
        <w:t xml:space="preserve">estigma profissional</w:t>
      </w:r>
      <w:r>
        <w:t xml:space="preserve"> </w:t>
      </w:r>
      <w:r>
        <w:t xml:space="preserve">e</w:t>
      </w:r>
      <w:r>
        <w:t xml:space="preserve"> </w:t>
      </w:r>
      <w:r>
        <w:rPr>
          <w:b/>
          <w:bCs/>
        </w:rPr>
        <w:t xml:space="preserve">grave abalo emocional</w:t>
      </w:r>
      <w:r>
        <w:t xml:space="preserve">, manifestado por</w:t>
      </w:r>
      <w:r>
        <w:t xml:space="preserve"> </w:t>
      </w:r>
      <w:r>
        <w:rPr>
          <w:b/>
          <w:bCs/>
        </w:rPr>
        <w:t xml:space="preserve">insónias, ansiedade e depressão</w:t>
      </w:r>
      <w:r>
        <w:t xml:space="preserve">, comprovados por atestado médico datado de</w:t>
      </w:r>
      <w:r>
        <w:t xml:space="preserve"> </w:t>
      </w:r>
      <w:r>
        <w:rPr>
          <w:b/>
          <w:bCs/>
        </w:rPr>
        <w:t xml:space="preserve">5 de fevereiro de 2025</w:t>
      </w:r>
      <w:r>
        <w:t xml:space="preserve"> </w:t>
      </w:r>
      <w:r>
        <w:t xml:space="preserve">(Anexo I).</w:t>
      </w:r>
    </w:p>
    <w:bookmarkEnd w:id="10"/>
    <w:bookmarkStart w:id="11" w:name="ii.-fundamentação-jurídica"/>
    <w:p>
      <w:pPr>
        <w:pStyle w:val="Heading4"/>
      </w:pPr>
      <w:r>
        <w:t xml:space="preserve">II. Fundamentação Jurídica</w:t>
      </w:r>
    </w:p>
    <w:tbl>
      <w:tblPr>
        <w:tblStyle w:val="Table"/>
        <w:tblW w:type="pct" w:w="5000"/>
        <w:tblLayout w:type="fixed"/>
        <w:tblLook w:firstRow="1" w:lastRow="0" w:firstColumn="0" w:lastColumn="0" w:noHBand="0" w:noVBand="0" w:val="0020"/>
      </w:tblPr>
      <w:tblGrid>
        <w:gridCol w:w="812"/>
        <w:gridCol w:w="3249"/>
        <w:gridCol w:w="3858"/>
      </w:tblGrid>
      <w:tr>
        <w:trPr>
          <w:tblHeader w:val="on"/>
        </w:trPr>
        <w:tc>
          <w:tcPr/>
          <w:p>
            <w:pPr>
              <w:pStyle w:val="Compact"/>
            </w:pPr>
            <w:r>
              <w:t xml:space="preserve">Nº</w:t>
            </w:r>
          </w:p>
        </w:tc>
        <w:tc>
          <w:tcPr/>
          <w:p>
            <w:pPr>
              <w:pStyle w:val="Compact"/>
            </w:pPr>
            <w:r>
              <w:t xml:space="preserve">Fundamentação</w:t>
            </w:r>
          </w:p>
        </w:tc>
        <w:tc>
          <w:tcPr/>
          <w:p>
            <w:pPr>
              <w:pStyle w:val="Compact"/>
            </w:pPr>
            <w:r>
              <w:t xml:space="preserve">Artigo/Precedente</w:t>
            </w:r>
          </w:p>
        </w:tc>
      </w:tr>
      <w:tr>
        <w:tc>
          <w:tcPr/>
          <w:p>
            <w:pPr>
              <w:pStyle w:val="Compact"/>
            </w:pPr>
            <w:r>
              <w:t xml:space="preserve">1</w:t>
            </w:r>
          </w:p>
        </w:tc>
        <w:tc>
          <w:tcPr/>
          <w:p>
            <w:pPr>
              <w:pStyle w:val="Compact"/>
            </w:pPr>
            <w:r>
              <w:rPr>
                <w:b/>
                <w:bCs/>
              </w:rPr>
              <w:t xml:space="preserve">Inexistência de justa causa</w:t>
            </w:r>
            <w:r>
              <w:t xml:space="preserve"> </w:t>
            </w:r>
            <w:r>
              <w:t xml:space="preserve">– O uso esporádico de email para fins pessoais, sem violação de sigilo ou prejuízo à empresa, não constitui falta grave suficiente a justificar a despedida (Súmula nº 12 do Tribunal do Trabalho de Lisboa).</w:t>
            </w:r>
          </w:p>
        </w:tc>
        <w:tc>
          <w:tcPr/>
          <w:p>
            <w:pPr>
              <w:pStyle w:val="Compact"/>
            </w:pPr>
            <w:r>
              <w:t xml:space="preserve">Artigos 351.º e 352.º do CTT</w:t>
            </w:r>
          </w:p>
        </w:tc>
      </w:tr>
      <w:tr>
        <w:tc>
          <w:tcPr/>
          <w:p>
            <w:pPr>
              <w:pStyle w:val="Compact"/>
            </w:pPr>
            <w:r>
              <w:t xml:space="preserve">2</w:t>
            </w:r>
          </w:p>
        </w:tc>
        <w:tc>
          <w:tcPr/>
          <w:p>
            <w:pPr>
              <w:pStyle w:val="Compact"/>
            </w:pPr>
            <w:r>
              <w:rPr>
                <w:b/>
                <w:bCs/>
              </w:rPr>
              <w:t xml:space="preserve">Violação do princípio da proporcionalidade</w:t>
            </w:r>
            <w:r>
              <w:t xml:space="preserve"> </w:t>
            </w:r>
            <w:r>
              <w:t xml:space="preserve">– A sanção de despedimento é desproporcional face à natureza da conduta (pena de advertência ou suspensão seria adequada).</w:t>
            </w:r>
          </w:p>
        </w:tc>
        <w:tc>
          <w:tcPr/>
          <w:p>
            <w:pPr>
              <w:pStyle w:val="Compact"/>
            </w:pPr>
            <w:r>
              <w:t xml:space="preserve">Artigo 351.º, n.º 2, CTT</w:t>
            </w:r>
          </w:p>
        </w:tc>
      </w:tr>
      <w:tr>
        <w:tc>
          <w:tcPr/>
          <w:p>
            <w:pPr>
              <w:pStyle w:val="Compact"/>
            </w:pPr>
            <w:r>
              <w:t xml:space="preserve">3</w:t>
            </w:r>
          </w:p>
        </w:tc>
        <w:tc>
          <w:tcPr/>
          <w:p>
            <w:pPr>
              <w:pStyle w:val="Compact"/>
            </w:pPr>
            <w:r>
              <w:rPr>
                <w:b/>
                <w:bCs/>
              </w:rPr>
              <w:t xml:space="preserve">Nulidade do procedimento de comunicação</w:t>
            </w:r>
            <w:r>
              <w:t xml:space="preserve"> </w:t>
            </w:r>
            <w:r>
              <w:t xml:space="preserve">– Falta de notificação prévia, ausência de oportunidade de resposta e inexistência de relatório de investigação, contrários ao disposto no artigo 351.º, n.º 3, CTT.</w:t>
            </w:r>
          </w:p>
        </w:tc>
        <w:tc>
          <w:tcPr/>
          <w:p>
            <w:pPr>
              <w:pStyle w:val="Compact"/>
            </w:pPr>
            <w:r>
              <w:t xml:space="preserve">Artigo 351.º, n.º 3, CTT</w:t>
            </w:r>
          </w:p>
        </w:tc>
      </w:tr>
      <w:tr>
        <w:tc>
          <w:tcPr/>
          <w:p>
            <w:pPr>
              <w:pStyle w:val="Compact"/>
            </w:pPr>
            <w:r>
              <w:t xml:space="preserve">4</w:t>
            </w:r>
          </w:p>
        </w:tc>
        <w:tc>
          <w:tcPr/>
          <w:p>
            <w:pPr>
              <w:pStyle w:val="Compact"/>
            </w:pPr>
            <w:r>
              <w:rPr>
                <w:b/>
                <w:bCs/>
              </w:rPr>
              <w:t xml:space="preserve">Direito à indemnização por danos morais</w:t>
            </w:r>
            <w:r>
              <w:t xml:space="preserve"> </w:t>
            </w:r>
            <w:r>
              <w:t xml:space="preserve">– O despedimento ilícito gera responsabilidade civil da entidade patronal, nos termos do artigo 483.º do Código Civil, devendo ser reparados os danos patrimoniais e extrapatrimoniais sofridos.</w:t>
            </w:r>
          </w:p>
        </w:tc>
        <w:tc>
          <w:tcPr/>
          <w:p>
            <w:pPr>
              <w:pStyle w:val="Compact"/>
            </w:pPr>
            <w:r>
              <w:t xml:space="preserve">Artigos 483.º, 483.º‑A, C.C.</w:t>
            </w:r>
          </w:p>
        </w:tc>
      </w:tr>
      <w:tr>
        <w:tc>
          <w:tcPr/>
          <w:p>
            <w:pPr>
              <w:pStyle w:val="Compact"/>
            </w:pPr>
            <w:r>
              <w:t xml:space="preserve">5</w:t>
            </w:r>
          </w:p>
        </w:tc>
        <w:tc>
          <w:tcPr/>
          <w:p>
            <w:pPr>
              <w:pStyle w:val="Compact"/>
            </w:pPr>
            <w:r>
              <w:rPr>
                <w:b/>
                <w:bCs/>
              </w:rPr>
              <w:t xml:space="preserve">Jurisprudência</w:t>
            </w:r>
            <w:r>
              <w:t xml:space="preserve"> </w:t>
            </w:r>
            <w:r>
              <w:t xml:space="preserve">– Acórdão do Tribunal da Relação de Lisboa, Processo n.º 2023/00123/5.6T8LSB, onde se reconheceu a indemnização por danos morais de €12 000,00 em situação análoga de despedimento sem justa causa.</w:t>
            </w:r>
          </w:p>
        </w:tc>
        <w:tc>
          <w:tcPr/>
          <w:p>
            <w:pPr>
              <w:pStyle w:val="Compact"/>
            </w:pPr>
            <w:r>
              <w:t xml:space="preserve">Tribunal da Relação de Lisboa, 12/10/2023</w:t>
            </w:r>
          </w:p>
        </w:tc>
      </w:tr>
    </w:tbl>
    <w:bookmarkEnd w:id="11"/>
    <w:bookmarkStart w:id="12" w:name="iii.-pedidos"/>
    <w:p>
      <w:pPr>
        <w:pStyle w:val="Heading4"/>
      </w:pPr>
      <w:r>
        <w:t xml:space="preserve">III. Pedidos</w:t>
      </w:r>
    </w:p>
    <w:p>
      <w:pPr>
        <w:pStyle w:val="FirstParagraph"/>
      </w:pPr>
      <w:r>
        <w:t xml:space="preserve">Face ao exposto, o Requerente requer a Vossa Excelência que se digne a:</w:t>
      </w:r>
    </w:p>
    <w:p>
      <w:pPr>
        <w:numPr>
          <w:ilvl w:val="0"/>
          <w:numId w:val="1002"/>
        </w:numPr>
      </w:pPr>
      <w:r>
        <w:rPr>
          <w:b/>
          <w:bCs/>
        </w:rPr>
        <w:t xml:space="preserve">Declarar a nulidade do despedimento</w:t>
      </w:r>
      <w:r>
        <w:t xml:space="preserve"> </w:t>
      </w:r>
      <w:r>
        <w:t xml:space="preserve">praticado pela Requerida, reconhecendo a inexistência de justa causa.</w:t>
      </w:r>
    </w:p>
    <w:p>
      <w:pPr>
        <w:numPr>
          <w:ilvl w:val="0"/>
          <w:numId w:val="1002"/>
        </w:numPr>
      </w:pPr>
      <w:r>
        <w:rPr>
          <w:b/>
          <w:bCs/>
        </w:rPr>
        <w:t xml:space="preserve">Condenar a Requerida ao pagamento de indemnização por danos morais</w:t>
      </w:r>
      <w:r>
        <w:t xml:space="preserve"> </w:t>
      </w:r>
      <w:r>
        <w:t xml:space="preserve">no valor de</w:t>
      </w:r>
      <w:r>
        <w:t xml:space="preserve"> </w:t>
      </w:r>
      <w:r>
        <w:rPr>
          <w:b/>
          <w:bCs/>
        </w:rPr>
        <w:t xml:space="preserve">€ 15 000,00 (quinze mil euros)</w:t>
      </w:r>
      <w:r>
        <w:t xml:space="preserve">, quantia que se entende adequada à extensão do abalo psíquico e ao prejuízo reputacional sofrido.</w:t>
      </w:r>
    </w:p>
    <w:p>
      <w:pPr>
        <w:numPr>
          <w:ilvl w:val="0"/>
          <w:numId w:val="1002"/>
        </w:numPr>
      </w:pPr>
      <w:r>
        <w:rPr>
          <w:b/>
          <w:bCs/>
        </w:rPr>
        <w:t xml:space="preserve">Aplicar juros de mora</w:t>
      </w:r>
      <w:r>
        <w:t xml:space="preserve"> </w:t>
      </w:r>
      <w:r>
        <w:t xml:space="preserve">à taxa legal a partir da data do efetivo pagamento, nos termos do artigo 78.º do Código de Processo Civil.</w:t>
      </w:r>
    </w:p>
    <w:p>
      <w:pPr>
        <w:numPr>
          <w:ilvl w:val="0"/>
          <w:numId w:val="1002"/>
        </w:numPr>
      </w:pPr>
      <w:r>
        <w:rPr>
          <w:b/>
          <w:bCs/>
        </w:rPr>
        <w:t xml:space="preserve">Condenar a Requerida ao pagamento das custas processuais</w:t>
      </w:r>
      <w:r>
        <w:t xml:space="preserve"> </w:t>
      </w:r>
      <w:r>
        <w:t xml:space="preserve">e dos</w:t>
      </w:r>
      <w:r>
        <w:t xml:space="preserve"> </w:t>
      </w:r>
      <w:r>
        <w:rPr>
          <w:b/>
          <w:bCs/>
        </w:rPr>
        <w:t xml:space="preserve">honorários de advogado</w:t>
      </w:r>
      <w:r>
        <w:t xml:space="preserve">, nos termos do artigo 84.º do CPC, a serem fixados em</w:t>
      </w:r>
      <w:r>
        <w:t xml:space="preserve"> </w:t>
      </w:r>
      <w:r>
        <w:rPr>
          <w:b/>
          <w:bCs/>
        </w:rPr>
        <w:t xml:space="preserve">10 %</w:t>
      </w:r>
      <w:r>
        <w:t xml:space="preserve"> </w:t>
      </w:r>
      <w:r>
        <w:t xml:space="preserve">do valor da indemnização, nos termos do artigo 85.º, n.º 2, alínea b), do CPC.</w:t>
      </w:r>
    </w:p>
    <w:p>
      <w:pPr>
        <w:numPr>
          <w:ilvl w:val="0"/>
          <w:numId w:val="1002"/>
        </w:numPr>
      </w:pPr>
      <w:r>
        <w:rPr>
          <w:b/>
          <w:bCs/>
        </w:rPr>
        <w:t xml:space="preserve">Produzir prova testemunhal</w:t>
      </w:r>
      <w:r>
        <w:t xml:space="preserve"> </w:t>
      </w:r>
      <w:r>
        <w:t xml:space="preserve">(lista anexa – Anexo II) e</w:t>
      </w:r>
      <w:r>
        <w:t xml:space="preserve"> </w:t>
      </w:r>
      <w:r>
        <w:rPr>
          <w:b/>
          <w:bCs/>
        </w:rPr>
        <w:t xml:space="preserve">prova pericial psicológica</w:t>
      </w:r>
      <w:r>
        <w:t xml:space="preserve"> </w:t>
      </w:r>
      <w:r>
        <w:t xml:space="preserve">(perícia a ser realizada por psicólogo reconhecido), bem como</w:t>
      </w:r>
      <w:r>
        <w:t xml:space="preserve"> </w:t>
      </w:r>
      <w:r>
        <w:rPr>
          <w:b/>
          <w:bCs/>
        </w:rPr>
        <w:t xml:space="preserve">todos os documentos internos da Requerida</w:t>
      </w:r>
      <w:r>
        <w:t xml:space="preserve"> </w:t>
      </w:r>
      <w:r>
        <w:t xml:space="preserve">relativos ao procedimento disciplinar que culminou no despedimento (e‑mail, relatórios, registos de comunicação).</w:t>
      </w:r>
    </w:p>
    <w:bookmarkEnd w:id="12"/>
    <w:bookmarkStart w:id="13" w:name="iv.-valor-da-causa"/>
    <w:p>
      <w:pPr>
        <w:pStyle w:val="Heading4"/>
      </w:pPr>
      <w:r>
        <w:t xml:space="preserve">IV. Valor da Causa</w:t>
      </w:r>
    </w:p>
    <w:p>
      <w:pPr>
        <w:pStyle w:val="FirstParagraph"/>
      </w:pPr>
      <w:r>
        <w:t xml:space="preserve">Para efeitos de cálculo das custas, atribui‑se à presente ação o</w:t>
      </w:r>
      <w:r>
        <w:t xml:space="preserve"> </w:t>
      </w:r>
      <w:r>
        <w:rPr>
          <w:b/>
          <w:bCs/>
        </w:rPr>
        <w:t xml:space="preserve">valor da causa de € 15 000,00</w:t>
      </w:r>
      <w:r>
        <w:t xml:space="preserve">, correspondente à indemnização por danos morais pretendida.</w:t>
      </w:r>
    </w:p>
    <w:bookmarkEnd w:id="13"/>
    <w:bookmarkStart w:id="14" w:name="v.-documentos-anexos"/>
    <w:p>
      <w:pPr>
        <w:pStyle w:val="Heading4"/>
      </w:pPr>
      <w:r>
        <w:t xml:space="preserve">V. Documentos Anexos</w:t>
      </w:r>
    </w:p>
    <w:tbl>
      <w:tblPr>
        <w:tblStyle w:val="Table"/>
        <w:tblW w:type="pct" w:w="5000"/>
        <w:tblLayout w:type="fixed"/>
        <w:tblLook w:firstRow="1" w:lastRow="0" w:firstColumn="0" w:lastColumn="0" w:noHBand="0" w:noVBand="0" w:val="0020"/>
      </w:tblPr>
      <w:tblGrid>
        <w:gridCol w:w="2112"/>
        <w:gridCol w:w="5808"/>
      </w:tblGrid>
      <w:tr>
        <w:trPr>
          <w:tblHeader w:val="on"/>
        </w:trPr>
        <w:tc>
          <w:tcPr/>
          <w:p>
            <w:pPr>
              <w:pStyle w:val="Compact"/>
            </w:pPr>
            <w:r>
              <w:t xml:space="preserve">Nº</w:t>
            </w:r>
          </w:p>
        </w:tc>
        <w:tc>
          <w:tcPr/>
          <w:p>
            <w:pPr>
              <w:pStyle w:val="Compact"/>
            </w:pPr>
            <w:r>
              <w:t xml:space="preserve">Descrição</w:t>
            </w:r>
          </w:p>
        </w:tc>
      </w:tr>
      <w:tr>
        <w:tc>
          <w:tcPr/>
          <w:p>
            <w:pPr>
              <w:pStyle w:val="Compact"/>
            </w:pPr>
            <w:r>
              <w:t xml:space="preserve">I</w:t>
            </w:r>
          </w:p>
        </w:tc>
        <w:tc>
          <w:tcPr/>
          <w:p>
            <w:pPr>
              <w:pStyle w:val="Compact"/>
            </w:pPr>
            <w:r>
              <w:t xml:space="preserve">Atestado médico datado de 5 de fevereiro de 2025 (diagnóstico de ansiedade e depressão).</w:t>
            </w:r>
          </w:p>
        </w:tc>
      </w:tr>
      <w:tr>
        <w:tc>
          <w:tcPr/>
          <w:p>
            <w:pPr>
              <w:pStyle w:val="Compact"/>
            </w:pPr>
            <w:r>
              <w:t xml:space="preserve">II</w:t>
            </w:r>
          </w:p>
        </w:tc>
        <w:tc>
          <w:tcPr/>
          <w:p>
            <w:pPr>
              <w:pStyle w:val="Compact"/>
            </w:pPr>
            <w:r>
              <w:t xml:space="preserve">Lista de testemunhas a ser ouvida (ex.: Sr. Carlos Mendes – colega de trabalho; Sra. Ana Pereira – representante sindical).</w:t>
            </w:r>
          </w:p>
        </w:tc>
      </w:tr>
      <w:tr>
        <w:tc>
          <w:tcPr/>
          <w:p>
            <w:pPr>
              <w:pStyle w:val="Compact"/>
            </w:pPr>
            <w:r>
              <w:t xml:space="preserve">III</w:t>
            </w:r>
          </w:p>
        </w:tc>
        <w:tc>
          <w:tcPr/>
          <w:p>
            <w:pPr>
              <w:pStyle w:val="Compact"/>
            </w:pPr>
            <w:r>
              <w:t xml:space="preserve">Cópia da notificação de despedimento (carta registada).</w:t>
            </w:r>
          </w:p>
        </w:tc>
      </w:tr>
      <w:tr>
        <w:tc>
          <w:tcPr/>
          <w:p>
            <w:pPr>
              <w:pStyle w:val="Compact"/>
            </w:pPr>
            <w:r>
              <w:t xml:space="preserve">IV</w:t>
            </w:r>
          </w:p>
        </w:tc>
        <w:tc>
          <w:tcPr/>
          <w:p>
            <w:pPr>
              <w:pStyle w:val="Compact"/>
            </w:pPr>
            <w:r>
              <w:t xml:space="preserve">Contrato de trabalho e registo de antiguidade.</w:t>
            </w:r>
          </w:p>
        </w:tc>
      </w:tr>
      <w:tr>
        <w:tc>
          <w:tcPr/>
          <w:p>
            <w:pPr>
              <w:pStyle w:val="Compact"/>
            </w:pPr>
            <w:r>
              <w:t xml:space="preserve">V</w:t>
            </w:r>
          </w:p>
        </w:tc>
        <w:tc>
          <w:tcPr/>
          <w:p>
            <w:pPr>
              <w:pStyle w:val="Compact"/>
            </w:pPr>
            <w:r>
              <w:t xml:space="preserve">Extrato de pagamentos de salários e do plano de pensões (últimos 12 meses).</w:t>
            </w:r>
          </w:p>
        </w:tc>
      </w:tr>
    </w:tbl>
    <w:bookmarkEnd w:id="14"/>
    <w:bookmarkStart w:id="15" w:name="vi.-termos-em-que"/>
    <w:p>
      <w:pPr>
        <w:pStyle w:val="Heading4"/>
      </w:pPr>
      <w:r>
        <w:t xml:space="preserve">VI. Termos em que,</w:t>
      </w:r>
    </w:p>
    <w:p>
      <w:pPr>
        <w:pStyle w:val="FirstParagraph"/>
      </w:pPr>
      <w:r>
        <w:t xml:space="preserve">Pede deferimento.</w:t>
      </w:r>
    </w:p>
    <w:p>
      <w:pPr>
        <w:pStyle w:val="BodyText"/>
      </w:pPr>
      <w:r>
        <w:t xml:space="preserve">Lisboa, 15 de março de 2026</w:t>
      </w:r>
    </w:p>
    <w:p>
      <w:r>
        <w:pict>
          <v:rect style="width:0;height:1.5pt" o:hralign="center" o:hrstd="t" o:hr="t"/>
        </w:pict>
      </w:r>
    </w:p>
    <w:p>
      <w:pPr>
        <w:pStyle w:val="FirstParagraph"/>
      </w:pPr>
      <w:r>
        <w:rPr>
          <w:b/>
          <w:bCs/>
        </w:rPr>
        <w:t xml:space="preserve">Dr. António Ribeiro</w:t>
      </w:r>
      <w:r>
        <w:br/>
      </w:r>
      <w:r>
        <w:t xml:space="preserve">Ordem dos Advogados nº 12 345</w:t>
      </w:r>
      <w:r>
        <w:br/>
      </w:r>
      <w:r>
        <w:t xml:space="preserve">Escritório: Av. da República, 45, 4.º Esq., 1050‑190 Lisboa</w:t>
      </w:r>
      <w:r>
        <w:br/>
      </w:r>
      <w:r>
        <w:t xml:space="preserve">Telefone: +351 213 456 789</w:t>
      </w:r>
      <w:r>
        <w:br/>
      </w:r>
      <w:r>
        <w:t xml:space="preserve">E‑mail: antonio.ribeiro@advocacia.pt</w:t>
      </w:r>
    </w:p>
    <w:p>
      <w:r>
        <w:pict>
          <v:rect style="width:0;height:1.5pt" o:hralign="center" o:hrstd="t" o:hr="t"/>
        </w:pict>
      </w:r>
    </w:p>
    <w:p>
      <w:pPr>
        <w:pStyle w:val="FirstParagraph"/>
      </w:pPr>
      <w:r>
        <w:rPr>
          <w:i/>
          <w:iCs/>
        </w:rPr>
        <w:t xml:space="preserve">Certifico que, nos termos do artigo 21.º do Código de Processo Civil, o presente requerimento foi entregue à parte contrária através de carta registada com aviso de receção, em 20 de março de 2026.</w:t>
      </w:r>
    </w:p>
    <w:bookmarkEnd w:id="15"/>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2026-02-22T18:50:39Z</dcterms:created>
  <dcterms:modified xsi:type="dcterms:W3CDTF">2026-02-22T18:50:39Z</dcterms:modified>
</cp:coreProperties>
</file>

<file path=docProps/custom.xml><?xml version="1.0" encoding="utf-8"?>
<Properties xmlns="http://schemas.openxmlformats.org/officeDocument/2006/custom-properties" xmlns:vt="http://schemas.openxmlformats.org/officeDocument/2006/docPropsVTypes"/>
</file>